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AE8C1">
      <w:pPr>
        <w:spacing w:after="20"/>
        <w:jc w:val="center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eastAsia="Aptos Display" w:cs="Times New Roman Regular"/>
          <w:b/>
          <w:color w:val="auto"/>
          <w:sz w:val="38"/>
        </w:rPr>
        <w:t>Yujia WEI</w:t>
      </w:r>
    </w:p>
    <w:p w14:paraId="638FF7E5">
      <w:pPr>
        <w:pStyle w:val="169"/>
        <w:jc w:val="center"/>
        <w:rPr>
          <w:rFonts w:hint="default" w:ascii="Times New Roman Regular" w:hAnsi="Times New Roman Regular" w:cs="Times New Roman Regular"/>
          <w:color w:val="auto"/>
        </w:rPr>
      </w:pPr>
      <w:bookmarkStart w:id="0" w:name="_GoBack"/>
      <w:bookmarkEnd w:id="0"/>
      <w:r>
        <w:rPr>
          <w:rFonts w:hint="default" w:ascii="Times New Roman Regular" w:hAnsi="Times New Roman Regular" w:cs="Times New Roman Regular"/>
          <w:b/>
          <w:color w:val="auto"/>
        </w:rPr>
        <w:t xml:space="preserve">Email: </w:t>
      </w:r>
      <w:r>
        <w:rPr>
          <w:rFonts w:hint="default" w:ascii="Times New Roman Regular" w:hAnsi="Times New Roman Regular" w:cs="Times New Roman Regular"/>
          <w:color w:val="auto"/>
        </w:rPr>
        <w:t>yujiawei20032001@gmail.com</w:t>
      </w:r>
    </w:p>
    <w:p w14:paraId="275578DF">
      <w:pPr>
        <w:pStyle w:val="169"/>
        <w:jc w:val="center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b/>
          <w:color w:val="auto"/>
        </w:rPr>
        <w:t>Research Inte</w:t>
      </w:r>
      <w:r>
        <w:rPr>
          <w:rFonts w:hint="default" w:ascii="Times New Roman Regular" w:hAnsi="Times New Roman Regular" w:cs="Times New Roman Regular"/>
          <w:b/>
          <w:color w:val="auto"/>
          <w:lang w:val="en-US"/>
        </w:rPr>
        <w:t>r</w:t>
      </w:r>
      <w:r>
        <w:rPr>
          <w:rFonts w:hint="default" w:ascii="Times New Roman Regular" w:hAnsi="Times New Roman Regular" w:cs="Times New Roman Regular"/>
          <w:b/>
          <w:color w:val="auto"/>
        </w:rPr>
        <w:t xml:space="preserve">ests: </w:t>
      </w:r>
      <w:r>
        <w:rPr>
          <w:rFonts w:hint="default" w:ascii="Times New Roman Regular" w:hAnsi="Times New Roman Regular" w:cs="Times New Roman Regular"/>
          <w:color w:val="auto"/>
        </w:rPr>
        <w:t>Digital intimacy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;</w:t>
      </w:r>
      <w:r>
        <w:rPr>
          <w:rFonts w:hint="default" w:ascii="Times New Roman Regular" w:hAnsi="Times New Roman Regular" w:cs="Times New Roman Regular"/>
          <w:color w:val="auto"/>
        </w:rPr>
        <w:t xml:space="preserve"> Human–Computer Interaction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 xml:space="preserve">; </w:t>
      </w:r>
      <w:r>
        <w:rPr>
          <w:rFonts w:hint="default" w:ascii="Times New Roman Regular" w:hAnsi="Times New Roman Regular" w:cs="Times New Roman Regular"/>
          <w:color w:val="auto"/>
        </w:rPr>
        <w:t>Game Studies</w:t>
      </w:r>
    </w:p>
    <w:p w14:paraId="1C055E40">
      <w:pPr>
        <w:pStyle w:val="168"/>
        <w:pBdr>
          <w:bottom w:val="single" w:color="1F3653" w:sz="6" w:space="3"/>
        </w:pBdr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EDUCATION</w:t>
      </w:r>
    </w:p>
    <w:p w14:paraId="73CF9BF0">
      <w:pPr>
        <w:pStyle w:val="165"/>
        <w:tabs>
          <w:tab w:val="right" w:pos="10397"/>
        </w:tabs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>University of Bristol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ab/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Sep 2026– Jun 2030 (Expected)</w:t>
      </w:r>
    </w:p>
    <w:p w14:paraId="0B8BE84C">
      <w:pPr>
        <w:pStyle w:val="166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PhD Student in Sociology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 xml:space="preserve">        </w:t>
      </w:r>
    </w:p>
    <w:p w14:paraId="27F5E943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 xml:space="preserve">Award: 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Full Funded Scholarship by University of Bristol and China Scholarship Council</w:t>
      </w:r>
    </w:p>
    <w:p w14:paraId="0FC2F0C6">
      <w:pPr>
        <w:pStyle w:val="165"/>
        <w:tabs>
          <w:tab w:val="right" w:pos="10397"/>
        </w:tabs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>Lund University, Sweden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ab/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Sep 2024 – Jun 2026</w:t>
      </w:r>
    </w:p>
    <w:p w14:paraId="010B84C8">
      <w:pPr>
        <w:pStyle w:val="166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MSc in Global Studies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ab/>
      </w:r>
      <w:r>
        <w:rPr>
          <w:rFonts w:hint="eastAsia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zh-CN" w:bidi="ar-SA"/>
        </w:rPr>
        <w:t xml:space="preserve">                                                                                                                                         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GPA: Distinction</w:t>
      </w:r>
    </w:p>
    <w:p w14:paraId="79D113FA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>Major courses: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 xml:space="preserve"> Digital Ethnography (A); Designing Research in Social Science (A)</w:t>
      </w:r>
    </w:p>
    <w:p w14:paraId="41A7588C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 xml:space="preserve">Award: 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Lund University Global Scholarship worth £10,400.</w:t>
      </w:r>
    </w:p>
    <w:p w14:paraId="6D8ADC32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 xml:space="preserve">Graduation thesis: 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Traveling Through the Gulf: Tourism Geopolitics among Chinese Tourists in Travel Narratives (Distinction)</w:t>
      </w:r>
    </w:p>
    <w:p w14:paraId="7B493B90">
      <w:pPr>
        <w:pStyle w:val="165"/>
        <w:tabs>
          <w:tab w:val="right" w:pos="10397"/>
        </w:tabs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>Renmin University of China (Top-tier National University)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ab/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Sep 2019 – Jun 2023</w:t>
      </w:r>
    </w:p>
    <w:p w14:paraId="20501F5E">
      <w:pPr>
        <w:pStyle w:val="166"/>
        <w:tabs>
          <w:tab w:val="right" w:pos="10397"/>
        </w:tabs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Bachelor of International Politics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ab/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GPA: 85.1/100</w:t>
      </w:r>
    </w:p>
    <w:p w14:paraId="520BD1CB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>Major courses: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 xml:space="preserve"> Communication Theories (89); Introduction of Sociology (93)</w:t>
      </w:r>
    </w:p>
    <w:p w14:paraId="5DB04C57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 xml:space="preserve">Elite Program: 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Global Governance and International Organizations Talent Training Program, RUC</w:t>
      </w:r>
    </w:p>
    <w:p w14:paraId="4B820ABA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  <w:r>
        <w:rPr>
          <w:rFonts w:hint="default" w:ascii="Times New Roman Bold" w:hAnsi="Times New Roman Bold" w:eastAsia="Aptos" w:cs="Times New Roman Bold"/>
          <w:b/>
          <w:bCs/>
          <w:color w:val="auto"/>
          <w:sz w:val="20"/>
          <w:szCs w:val="22"/>
          <w:lang w:val="en-US" w:eastAsia="en-US" w:bidi="ar-SA"/>
        </w:rPr>
        <w:t xml:space="preserve">Graduation thesis: </w:t>
      </w:r>
      <w:r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  <w:t>Japan’s “Indo-Pacific Strategy”: Historical Evolution, Characteristics Summary &amp; Prospect Forecast (3.7/4.0)</w:t>
      </w:r>
    </w:p>
    <w:p w14:paraId="6A58F735">
      <w:pPr>
        <w:pStyle w:val="167"/>
        <w:spacing w:after="0"/>
        <w:rPr>
          <w:rFonts w:hint="default" w:ascii="Times New Roman Regular" w:hAnsi="Times New Roman Regular" w:eastAsia="Aptos" w:cs="Times New Roman Regular"/>
          <w:b w:val="0"/>
          <w:color w:val="auto"/>
          <w:sz w:val="20"/>
          <w:szCs w:val="22"/>
          <w:lang w:val="en-US" w:eastAsia="en-US" w:bidi="ar-SA"/>
        </w:rPr>
      </w:pPr>
    </w:p>
    <w:p w14:paraId="44E1AB60">
      <w:pPr>
        <w:pStyle w:val="168"/>
        <w:pBdr>
          <w:bottom w:val="single" w:color="1F3653" w:sz="6" w:space="3"/>
        </w:pBdr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PUBLICATION</w:t>
      </w:r>
    </w:p>
    <w:p w14:paraId="3EE61977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WEI, Y., &amp; Zhang, J. (2025). Silence or Not: Narrative Analysis of Women’s Voices in Cross-border Forced Marriages, The Asian Journal of Women’s Studies. (Under review, SSCI Q2)</w:t>
      </w:r>
    </w:p>
    <w:p w14:paraId="0A86CC38">
      <w:pPr>
        <w:spacing w:after="20"/>
        <w:rPr>
          <w:rFonts w:hint="default" w:ascii="Times New Roman Regular" w:hAnsi="Times New Roman Regular" w:cs="Times New Roman Regular"/>
          <w:color w:val="auto"/>
        </w:rPr>
      </w:pPr>
    </w:p>
    <w:p w14:paraId="5ABF3380">
      <w:pPr>
        <w:pStyle w:val="168"/>
        <w:pBdr>
          <w:bottom w:val="single" w:color="1F3653" w:sz="6" w:space="3"/>
        </w:pBdr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RESEARCH EXPERIENCE</w:t>
      </w:r>
    </w:p>
    <w:p w14:paraId="179D9EAA">
      <w:pPr>
        <w:pStyle w:val="165"/>
        <w:tabs>
          <w:tab w:val="right" w:pos="10397"/>
        </w:tabs>
        <w:rPr>
          <w:rFonts w:hint="eastAsia" w:ascii="Times New Roman Regular" w:hAnsi="Times New Roman Regular" w:eastAsia="宋体" w:cs="Times New Roman Regular"/>
          <w:b/>
          <w:bCs/>
          <w:color w:val="auto"/>
          <w:sz w:val="20"/>
          <w:szCs w:val="22"/>
          <w:lang w:val="en-US" w:eastAsia="zh-CN" w:bidi="ar-SA"/>
        </w:rPr>
      </w:pPr>
      <w:r>
        <w:rPr>
          <w:rFonts w:hint="eastAsia" w:ascii="Times New Roman Regular" w:hAnsi="Times New Roman Regular" w:eastAsia="宋体" w:cs="Times New Roman Regular"/>
          <w:b/>
          <w:bCs/>
          <w:color w:val="auto"/>
          <w:sz w:val="20"/>
          <w:szCs w:val="22"/>
          <w:lang w:val="en-US" w:eastAsia="zh-CN" w:bidi="ar-SA"/>
        </w:rPr>
        <w:t>T</w:t>
      </w:r>
      <w:r>
        <w:rPr>
          <w:rFonts w:hint="default" w:ascii="Times New Roman Regular" w:hAnsi="Times New Roman Regular" w:eastAsia="Aptos" w:cs="Times New Roman Regular"/>
          <w:b/>
          <w:bCs/>
          <w:color w:val="auto"/>
          <w:sz w:val="20"/>
          <w:szCs w:val="22"/>
          <w:lang w:val="en-US" w:eastAsia="en-US" w:bidi="ar-SA"/>
        </w:rPr>
        <w:t xml:space="preserve">he Social Practice of Otome Game Fan Creation: A Digital Ethnography of </w:t>
      </w:r>
      <w:r>
        <w:rPr>
          <w:rFonts w:hint="default" w:ascii="Times New Roman Bold Italic" w:hAnsi="Times New Roman Bold Italic" w:eastAsia="Aptos" w:cs="Times New Roman Bold Italic"/>
          <w:b/>
          <w:bCs/>
          <w:i/>
          <w:iCs/>
          <w:color w:val="auto"/>
          <w:sz w:val="20"/>
          <w:szCs w:val="22"/>
          <w:lang w:val="en-US" w:eastAsia="en-US" w:bidi="ar-SA"/>
        </w:rPr>
        <w:t>Love and Deepspace</w:t>
      </w:r>
      <w:r>
        <w:rPr>
          <w:rFonts w:hint="eastAsia" w:ascii="Times New Roman Regular" w:hAnsi="Times New Roman Regular" w:eastAsia="宋体" w:cs="Times New Roman Regular"/>
          <w:b/>
          <w:bCs/>
          <w:color w:val="auto"/>
          <w:sz w:val="20"/>
          <w:szCs w:val="22"/>
          <w:lang w:val="en-US" w:eastAsia="zh-CN" w:bidi="ar-SA"/>
        </w:rPr>
        <w:t xml:space="preserve">    Feb 2025 –June 2025</w:t>
      </w:r>
    </w:p>
    <w:p w14:paraId="55D609D8">
      <w:pPr>
        <w:pStyle w:val="166"/>
        <w:rPr>
          <w:rFonts w:hint="default" w:ascii="Times New Roman Regular" w:hAnsi="Times New Roman Regular" w:cs="Times New Roman Regular"/>
          <w:color w:val="auto"/>
          <w:lang w:val="en-US"/>
        </w:rPr>
      </w:pPr>
      <w:r>
        <w:rPr>
          <w:rFonts w:hint="eastAsia" w:ascii="Times New Roman Regular" w:hAnsi="Times New Roman Regular" w:cs="Times New Roman Regular"/>
          <w:color w:val="auto"/>
          <w:lang w:val="en-US" w:eastAsia="zh-CN"/>
        </w:rPr>
        <w:t>Researcher</w:t>
      </w:r>
      <w:r>
        <w:rPr>
          <w:rFonts w:hint="default" w:ascii="Times New Roman Regular" w:hAnsi="Times New Roman Regular" w:cs="Times New Roman Regular"/>
          <w:color w:val="auto"/>
        </w:rPr>
        <w:t>· Supervisors: Dr. Lena Karlsson</w:t>
      </w:r>
      <w:r>
        <w:rPr>
          <w:rFonts w:hint="eastAsia" w:ascii="Times New Roman Regular" w:hAnsi="Times New Roman Regular" w:eastAsia="宋体" w:cs="Times New Roman Regular"/>
          <w:color w:val="auto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</w:rPr>
        <w:t>(Department of Communication)</w:t>
      </w:r>
    </w:p>
    <w:p w14:paraId="23F9F456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  <w:lang w:val="en-US" w:eastAsia="en-US"/>
        </w:rPr>
        <w:t>Examined fan creation and community interactions within the online player community of Love and Deepspace.</w:t>
      </w:r>
    </w:p>
    <w:p w14:paraId="696FE184">
      <w:pPr>
        <w:pStyle w:val="16"/>
        <w:tabs>
          <w:tab w:val="left" w:pos="3868"/>
        </w:tabs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eastAsia" w:ascii="Times New Roman Regular" w:hAnsi="Times New Roman Regular" w:eastAsia="宋体" w:cs="Times New Roman Regular"/>
          <w:color w:val="auto"/>
          <w:lang w:eastAsia="zh-CN"/>
        </w:rPr>
        <w:tab/>
      </w:r>
      <w:r>
        <w:rPr>
          <w:rFonts w:hint="eastAsia" w:ascii="Times New Roman Regular" w:hAnsi="Times New Roman Regular" w:eastAsia="宋体" w:cs="Times New Roman Regular"/>
          <w:color w:val="auto"/>
          <w:lang w:eastAsia="zh-CN"/>
        </w:rPr>
        <w:t>Utilized digital ethnography and qualitative analysis to investigate how players negotiate affective relationships, social interactions, and shared cultural practices through fan-created content.</w:t>
      </w:r>
    </w:p>
    <w:p w14:paraId="22D327D9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Explored the role of platform affordances and governance in regulating participation, creativity, and the formation of affective communities in contemporary otome game fandom.</w:t>
      </w:r>
    </w:p>
    <w:p w14:paraId="7CAC7ECA">
      <w:pPr>
        <w:pStyle w:val="16"/>
        <w:numPr>
          <w:ilvl w:val="0"/>
          <w:numId w:val="0"/>
        </w:numPr>
        <w:spacing w:after="0" w:line="250" w:lineRule="auto"/>
        <w:ind w:left="86" w:leftChars="0"/>
        <w:rPr>
          <w:rFonts w:hint="default" w:ascii="Times New Roman Regular" w:hAnsi="Times New Roman Regular" w:cs="Times New Roman Regular"/>
          <w:color w:val="auto"/>
        </w:rPr>
      </w:pPr>
    </w:p>
    <w:p w14:paraId="71AB7A80">
      <w:pPr>
        <w:pStyle w:val="165"/>
        <w:tabs>
          <w:tab w:val="right" w:pos="10397"/>
        </w:tabs>
        <w:rPr>
          <w:rFonts w:hint="default" w:ascii="Times New Roman Regular" w:hAnsi="Times New Roman Regular" w:cs="Times New Roman Regular"/>
          <w:color w:val="auto"/>
          <w:lang w:val="en-US"/>
        </w:rPr>
      </w:pPr>
      <w:r>
        <w:rPr>
          <w:rFonts w:hint="default" w:ascii="Times New Roman Regular" w:hAnsi="Times New Roman Regular" w:cs="Times New Roman Regular"/>
          <w:color w:val="auto"/>
        </w:rPr>
        <w:t>When Frontier Meets Sea and Mountain: Foreign Policy Practices in China’s Border Cities – A Case Study of Dongxing, Guangxi</w:t>
      </w:r>
      <w:r>
        <w:rPr>
          <w:rFonts w:hint="default" w:ascii="Times New Roman Regular" w:hAnsi="Times New Roman Regular" w:cs="Times New Roman Regular"/>
          <w:color w:val="auto"/>
        </w:rPr>
        <w:tab/>
      </w:r>
      <w:r>
        <w:rPr>
          <w:rFonts w:hint="default" w:ascii="Times New Roman Regular" w:hAnsi="Times New Roman Regular" w:cs="Times New Roman Regular"/>
          <w:color w:val="auto"/>
        </w:rPr>
        <w:t xml:space="preserve">Sep 2024 – 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Sep 2025</w:t>
      </w:r>
    </w:p>
    <w:p w14:paraId="1C5919A8">
      <w:pPr>
        <w:pStyle w:val="166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Second Author · Co-Authors: Junyi NONG (Nanyang Technological University, Singapore); QingZhe FENG (Academy of Social Sciences, Nanning, Guangxi)</w:t>
      </w:r>
    </w:p>
    <w:p w14:paraId="392A97FB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Examined how geographical identity and strategic location shape Dongxing’s cultural narratives, local identity-making, and mediated representations of cross-border exchange.</w:t>
      </w:r>
    </w:p>
    <w:p w14:paraId="5BC6F40C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Utilized mixed qualitative methods, including discourse analysis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</w:rPr>
        <w:t>and semi-structured interviews, to explore how border spaces are imagined, communicated, and negotiated in everyday governance and public discourse.</w:t>
      </w:r>
    </w:p>
    <w:p w14:paraId="3881572D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Seeking submission: Cities (SSCI Q1).</w:t>
      </w:r>
    </w:p>
    <w:p w14:paraId="675CDEAD">
      <w:pPr>
        <w:pStyle w:val="16"/>
        <w:numPr>
          <w:ilvl w:val="0"/>
          <w:numId w:val="0"/>
        </w:numPr>
        <w:spacing w:after="0" w:line="250" w:lineRule="auto"/>
        <w:ind w:left="86" w:leftChars="0"/>
        <w:rPr>
          <w:rFonts w:hint="default" w:ascii="Times New Roman Regular" w:hAnsi="Times New Roman Regular" w:cs="Times New Roman Regular"/>
          <w:color w:val="auto"/>
        </w:rPr>
      </w:pPr>
    </w:p>
    <w:p w14:paraId="32CEE114">
      <w:pPr>
        <w:pStyle w:val="165"/>
        <w:tabs>
          <w:tab w:val="right" w:pos="10397"/>
        </w:tabs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Wildlife Conservation Society (WCS), Guangzhou</w:t>
      </w:r>
      <w:r>
        <w:rPr>
          <w:rFonts w:hint="default" w:ascii="Times New Roman Regular" w:hAnsi="Times New Roman Regular" w:cs="Times New Roman Regular"/>
          <w:color w:val="auto"/>
        </w:rPr>
        <w:tab/>
      </w:r>
      <w:r>
        <w:rPr>
          <w:rFonts w:hint="default" w:ascii="Times New Roman Regular" w:hAnsi="Times New Roman Regular" w:cs="Times New Roman Regular"/>
          <w:color w:val="auto"/>
        </w:rPr>
        <w:t>Dec 2023 – Jun 2024</w:t>
      </w:r>
    </w:p>
    <w:p w14:paraId="37F91BCA">
      <w:pPr>
        <w:pStyle w:val="166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Research Assistant</w:t>
      </w:r>
    </w:p>
    <w:p w14:paraId="47837948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Analyzed policy documents, environmental campaigns, and NGO media outputs to examine how wildlife conservation discourse—especially around ivory trade—circulates across transnational publics.</w:t>
      </w:r>
    </w:p>
    <w:p w14:paraId="44C620B3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Produced a 20,000-word report integrating discourse analysis with policy evaluation, contributing to internal knowledge transfer and outreach strategies.</w:t>
      </w:r>
    </w:p>
    <w:p w14:paraId="293D6B19">
      <w:pPr>
        <w:pStyle w:val="16"/>
        <w:numPr>
          <w:ilvl w:val="0"/>
          <w:numId w:val="0"/>
        </w:numPr>
        <w:spacing w:after="0" w:line="250" w:lineRule="auto"/>
        <w:ind w:left="86" w:leftChars="0"/>
        <w:rPr>
          <w:rFonts w:hint="default" w:ascii="Times New Roman Regular" w:hAnsi="Times New Roman Regular" w:cs="Times New Roman Regular"/>
          <w:color w:val="auto"/>
        </w:rPr>
      </w:pPr>
    </w:p>
    <w:p w14:paraId="6B625307">
      <w:pPr>
        <w:pStyle w:val="165"/>
        <w:tabs>
          <w:tab w:val="right" w:pos="10397"/>
        </w:tabs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Green Development Index of Countries along the Belt and Road, RUC</w:t>
      </w:r>
      <w:r>
        <w:rPr>
          <w:rFonts w:hint="default" w:ascii="Times New Roman Regular" w:hAnsi="Times New Roman Regular" w:cs="Times New Roman Regular"/>
          <w:color w:val="auto"/>
        </w:rPr>
        <w:tab/>
      </w:r>
      <w:r>
        <w:rPr>
          <w:rFonts w:hint="default" w:ascii="Times New Roman Regular" w:hAnsi="Times New Roman Regular" w:cs="Times New Roman Regular"/>
          <w:color w:val="auto"/>
        </w:rPr>
        <w:t>Oct 2021 – Feb 2022</w:t>
      </w:r>
    </w:p>
    <w:p w14:paraId="022939E2">
      <w:pPr>
        <w:pStyle w:val="166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Team Leader · Supervisors: Dr. Xu LIU; Prof. Qinhua XU (RUC School of International Studies)</w:t>
      </w:r>
    </w:p>
    <w:p w14:paraId="17A159D8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Constructed a Green Development Index across 137 countries using 45 indicators; conducted data collection and comparative analysis on national-level sustainability indicators across Belt and Road and OECD nations from 2008 to 2021.</w:t>
      </w:r>
    </w:p>
    <w:p w14:paraId="41655946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Established a comprehensive database focusing on the Belt and Road countries and published final reports of 23,000 words as first author; presented the findings as main speaker.</w:t>
      </w:r>
    </w:p>
    <w:p w14:paraId="0AF83208">
      <w:pPr>
        <w:pStyle w:val="16"/>
        <w:numPr>
          <w:ilvl w:val="0"/>
          <w:numId w:val="0"/>
        </w:numPr>
        <w:spacing w:after="0" w:line="250" w:lineRule="auto"/>
        <w:ind w:left="86" w:leftChars="0"/>
        <w:rPr>
          <w:rFonts w:hint="default" w:ascii="Times New Roman Regular" w:hAnsi="Times New Roman Regular" w:cs="Times New Roman Regular"/>
          <w:color w:val="auto"/>
        </w:rPr>
      </w:pPr>
    </w:p>
    <w:p w14:paraId="4C6C4521">
      <w:pPr>
        <w:pStyle w:val="168"/>
        <w:pBdr>
          <w:bottom w:val="single" w:color="1F3653" w:sz="6" w:space="3"/>
        </w:pBdr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INDIVIDUAL PROJECTS</w:t>
      </w:r>
    </w:p>
    <w:p w14:paraId="4E0CED4E">
      <w:pPr>
        <w:pStyle w:val="165"/>
        <w:tabs>
          <w:tab w:val="right" w:pos="10397"/>
        </w:tabs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Otome Game Design: Locked Room with Caleb</w:t>
      </w:r>
      <w:r>
        <w:rPr>
          <w:rFonts w:hint="default" w:ascii="Times New Roman Regular" w:hAnsi="Times New Roman Regular" w:cs="Times New Roman Regular"/>
          <w:color w:val="auto"/>
        </w:rPr>
        <w:tab/>
      </w:r>
      <w:r>
        <w:rPr>
          <w:rFonts w:hint="default" w:ascii="Times New Roman Regular" w:hAnsi="Times New Roman Regular" w:cs="Times New Roman Regular"/>
          <w:color w:val="auto"/>
        </w:rPr>
        <w:t>Apr 2025 – Jun 2025</w:t>
      </w:r>
    </w:p>
    <w:p w14:paraId="05F13011">
      <w:pPr>
        <w:pStyle w:val="166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Lead Designer &amp; Producer</w:t>
      </w:r>
    </w:p>
    <w:p w14:paraId="4F474494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Designed, scripted, and produced an otome fan game exploring themes of player–character relationships, virtual romance, and affective engagement.</w:t>
      </w:r>
    </w:p>
    <w:p w14:paraId="6F9B89A3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 xml:space="preserve">Produced and marketed physical merchandise, applying a transmedia model to extend the game’s virtual romance into tangible culture practices, mirroring how players translate digital intimacy into real-world </w:t>
      </w:r>
      <w:r>
        <w:rPr>
          <w:rFonts w:hint="eastAsia" w:ascii="Times New Roman Regular" w:hAnsi="Times New Roman Regular" w:eastAsia="宋体" w:cs="Times New Roman Regular"/>
          <w:color w:val="auto"/>
          <w:lang w:val="en-US" w:eastAsia="zh-CN"/>
        </w:rPr>
        <w:t xml:space="preserve"> and materialized </w:t>
      </w:r>
      <w:r>
        <w:rPr>
          <w:rFonts w:hint="default" w:ascii="Times New Roman Regular" w:hAnsi="Times New Roman Regular" w:cs="Times New Roman Regular"/>
          <w:color w:val="auto"/>
        </w:rPr>
        <w:t>engagements.</w:t>
      </w:r>
    </w:p>
    <w:p w14:paraId="50B94B25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 xml:space="preserve">Managed publicity on Xiaohongshu (RED), attracting nearly 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5</w:t>
      </w:r>
      <w:r>
        <w:rPr>
          <w:rFonts w:hint="default" w:ascii="Times New Roman Regular" w:hAnsi="Times New Roman Regular" w:cs="Times New Roman Regular"/>
          <w:color w:val="auto"/>
        </w:rPr>
        <w:t>,000 players.</w:t>
      </w:r>
    </w:p>
    <w:p w14:paraId="08FD6956">
      <w:pPr>
        <w:pStyle w:val="16"/>
        <w:numPr>
          <w:ilvl w:val="0"/>
          <w:numId w:val="0"/>
        </w:numPr>
        <w:spacing w:after="0" w:line="250" w:lineRule="auto"/>
        <w:ind w:left="86" w:leftChars="0"/>
        <w:rPr>
          <w:rFonts w:hint="default" w:ascii="Times New Roman Regular" w:hAnsi="Times New Roman Regular" w:cs="Times New Roman Regular"/>
          <w:color w:val="auto"/>
        </w:rPr>
      </w:pPr>
    </w:p>
    <w:p w14:paraId="54A3F752">
      <w:pPr>
        <w:pStyle w:val="165"/>
        <w:tabs>
          <w:tab w:val="right" w:pos="10397"/>
        </w:tabs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Desk Pet Design</w:t>
      </w:r>
      <w:r>
        <w:rPr>
          <w:rFonts w:hint="default" w:ascii="Times New Roman Regular" w:hAnsi="Times New Roman Regular" w:cs="Times New Roman Regular"/>
          <w:color w:val="auto"/>
        </w:rPr>
        <w:tab/>
      </w:r>
      <w:r>
        <w:rPr>
          <w:rFonts w:hint="default" w:ascii="Times New Roman Regular" w:hAnsi="Times New Roman Regular" w:cs="Times New Roman Regular"/>
          <w:color w:val="auto"/>
        </w:rPr>
        <w:t>Jun 2025 – Aug 2025</w:t>
      </w:r>
    </w:p>
    <w:p w14:paraId="6F1314EF">
      <w:pPr>
        <w:pStyle w:val="166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Designer &amp; Producer</w:t>
      </w:r>
    </w:p>
    <w:p w14:paraId="0E6914D2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Designed and developed an interactive desk pet application based on an otome game character, exploring how virtual agents can permeate players’ everyday routines beyond gameplay.</w:t>
      </w:r>
    </w:p>
    <w:p w14:paraId="51AE2D4D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Implemented interactive features (e.g., touch-based responses, timed reminders) to simulate companionship and affective exchanges in non-game contexts.</w:t>
      </w:r>
    </w:p>
    <w:p w14:paraId="07A957A6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 xml:space="preserve">Made the application publicly available for continuous download, attracting nearly 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1,000</w:t>
      </w:r>
      <w:r>
        <w:rPr>
          <w:rFonts w:hint="default" w:ascii="Times New Roman Regular" w:hAnsi="Times New Roman Regular" w:cs="Times New Roman Regular"/>
          <w:color w:val="auto"/>
        </w:rPr>
        <w:t xml:space="preserve"> active users.</w:t>
      </w:r>
    </w:p>
    <w:p w14:paraId="1D476913">
      <w:pPr>
        <w:pStyle w:val="16"/>
        <w:numPr>
          <w:ilvl w:val="0"/>
          <w:numId w:val="0"/>
        </w:numPr>
        <w:spacing w:after="0" w:line="250" w:lineRule="auto"/>
        <w:rPr>
          <w:rFonts w:hint="default" w:ascii="Times New Roman Regular" w:hAnsi="Times New Roman Regular" w:cs="Times New Roman Regular"/>
          <w:color w:val="auto"/>
        </w:rPr>
      </w:pPr>
    </w:p>
    <w:p w14:paraId="77207D50">
      <w:pPr>
        <w:pStyle w:val="168"/>
        <w:pBdr>
          <w:bottom w:val="single" w:color="1F3653" w:sz="6" w:space="3"/>
        </w:pBdr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INTERNSHIP EXPERIENCE</w:t>
      </w:r>
    </w:p>
    <w:p w14:paraId="2EAEBE66">
      <w:pPr>
        <w:pStyle w:val="165"/>
        <w:tabs>
          <w:tab w:val="right" w:pos="10397"/>
        </w:tabs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Intellisia Institute, Guangzhou</w:t>
      </w:r>
      <w:r>
        <w:rPr>
          <w:rFonts w:hint="default" w:ascii="Times New Roman Regular" w:hAnsi="Times New Roman Regular" w:cs="Times New Roman Regular"/>
          <w:color w:val="auto"/>
        </w:rPr>
        <w:tab/>
      </w:r>
      <w:r>
        <w:rPr>
          <w:rFonts w:hint="default" w:ascii="Times New Roman Regular" w:hAnsi="Times New Roman Regular" w:cs="Times New Roman Regular"/>
          <w:color w:val="auto"/>
        </w:rPr>
        <w:t>Aug 2021 – Feb 2022</w:t>
      </w:r>
    </w:p>
    <w:p w14:paraId="63C5724C">
      <w:pPr>
        <w:pStyle w:val="166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Editor</w:t>
      </w:r>
    </w:p>
    <w:p w14:paraId="63A5E117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Conducted in-depth research across various international topics by employing extensive literature analysis, data collection, and comparative research methodologies, gaining a comprehensive understanding of global issues.</w:t>
      </w:r>
    </w:p>
    <w:p w14:paraId="21320B42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Authored 20 long-form articles (40,000 words) for public dissemination, translating complex policy debates—such as EU climate policy—into accessible narratives for a wider readership.</w:t>
      </w:r>
    </w:p>
    <w:p w14:paraId="1CF04408">
      <w:pPr>
        <w:pStyle w:val="16"/>
        <w:numPr>
          <w:ilvl w:val="0"/>
          <w:numId w:val="0"/>
        </w:numPr>
        <w:spacing w:after="0" w:line="250" w:lineRule="auto"/>
        <w:ind w:left="86" w:leftChars="0"/>
        <w:rPr>
          <w:rFonts w:hint="default" w:ascii="Times New Roman Regular" w:hAnsi="Times New Roman Regular" w:cs="Times New Roman Regular"/>
          <w:color w:val="auto"/>
        </w:rPr>
      </w:pPr>
    </w:p>
    <w:p w14:paraId="4147721C">
      <w:pPr>
        <w:pStyle w:val="165"/>
        <w:tabs>
          <w:tab w:val="right" w:pos="10397"/>
        </w:tabs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Enterprise Green Development Research Institute, China Entrepreneur Club, Beijing</w:t>
      </w:r>
      <w:r>
        <w:rPr>
          <w:rFonts w:hint="default" w:ascii="Times New Roman Regular" w:hAnsi="Times New Roman Regular" w:cs="Times New Roman Regular"/>
          <w:color w:val="auto"/>
        </w:rPr>
        <w:tab/>
      </w:r>
      <w:r>
        <w:rPr>
          <w:rFonts w:hint="default" w:ascii="Times New Roman Regular" w:hAnsi="Times New Roman Regular" w:cs="Times New Roman Regular"/>
          <w:color w:val="auto"/>
        </w:rPr>
        <w:t>Mar 2023 – Jun 2023</w:t>
      </w:r>
    </w:p>
    <w:p w14:paraId="54ACE68E">
      <w:pPr>
        <w:pStyle w:val="166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Policy Research Intern</w:t>
      </w:r>
    </w:p>
    <w:p w14:paraId="300D51D8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Coordinated daily operations of the Beijing and Haikou Research Institutes, including data collection and support for research activities; supported research on sustainable-development discourse and cross-sector, cross-cultural environmental narratives.</w:t>
      </w:r>
    </w:p>
    <w:p w14:paraId="568C6C0E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Promoted the annual summit in Haikou and engaged stakeholders from diverse backgrounds, cultivating cross-disciplinary and cross-cultural competencies.</w:t>
      </w:r>
    </w:p>
    <w:p w14:paraId="73AFF918">
      <w:pPr>
        <w:pStyle w:val="16"/>
        <w:numPr>
          <w:ilvl w:val="0"/>
          <w:numId w:val="0"/>
        </w:numPr>
        <w:spacing w:after="0" w:line="250" w:lineRule="auto"/>
        <w:ind w:left="86" w:leftChars="0"/>
        <w:rPr>
          <w:rFonts w:hint="default" w:ascii="Times New Roman Regular" w:hAnsi="Times New Roman Regular" w:cs="Times New Roman Regular"/>
          <w:color w:val="auto"/>
        </w:rPr>
      </w:pPr>
    </w:p>
    <w:p w14:paraId="4B0AC8C8">
      <w:pPr>
        <w:pStyle w:val="168"/>
        <w:pBdr>
          <w:bottom w:val="single" w:color="1F3653" w:sz="6" w:space="3"/>
        </w:pBdr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RESEARCH &amp; LANGUAGE SKILLS</w:t>
      </w:r>
    </w:p>
    <w:p w14:paraId="633987F3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Languages: Mandarin (native); Japanese Language Proficiency Test N2 (167/180); IELTS 7.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5</w:t>
      </w:r>
      <w:r>
        <w:rPr>
          <w:rFonts w:hint="default" w:ascii="Times New Roman Regular" w:hAnsi="Times New Roman Regular" w:cs="Times New Roman Regular"/>
          <w:color w:val="auto"/>
        </w:rPr>
        <w:t>.</w:t>
      </w:r>
    </w:p>
    <w:p w14:paraId="21F5FC77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Methods: Ethnographic observation; in-depth interviews; qualitative discourse analysis; quantitative content analysis.</w:t>
      </w:r>
    </w:p>
    <w:p w14:paraId="246DCC9F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Research software: Python; MAXQDA; SPSS.</w:t>
      </w:r>
    </w:p>
    <w:p w14:paraId="6CB98D0D">
      <w:pPr>
        <w:pStyle w:val="16"/>
        <w:spacing w:after="0" w:line="250" w:lineRule="auto"/>
        <w:ind w:left="331" w:hanging="245"/>
        <w:rPr>
          <w:rFonts w:hint="default" w:ascii="Times New Roman Regular" w:hAnsi="Times New Roman Regular" w:cs="Times New Roman Regular"/>
          <w:color w:val="auto"/>
        </w:rPr>
      </w:pPr>
      <w:r>
        <w:rPr>
          <w:rFonts w:hint="default" w:ascii="Times New Roman Regular" w:hAnsi="Times New Roman Regular" w:cs="Times New Roman Regular"/>
          <w:color w:val="auto"/>
        </w:rPr>
        <w:t>Game development: Godot; RPGMaker.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ptos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ptos Display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0" w:lineRule="auto"/>
      </w:pPr>
      <w:r>
        <w:separator/>
      </w:r>
    </w:p>
  </w:footnote>
  <w:footnote w:type="continuationSeparator" w:id="1">
    <w:p>
      <w:pPr>
        <w:spacing w:before="0" w:after="0" w:line="25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FF3124"/>
    <w:rsid w:val="F395F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0" w:line="250" w:lineRule="auto"/>
    </w:pPr>
    <w:rPr>
      <w:rFonts w:ascii="Aptos" w:hAnsi="Aptos" w:eastAsia="Aptos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Body Text 2 Char"/>
    <w:basedOn w:val="132"/>
    <w:link w:val="28"/>
    <w:uiPriority w:val="99"/>
  </w:style>
  <w:style w:type="character" w:customStyle="1" w:styleId="147">
    <w:name w:val="Body Text 3 Char"/>
    <w:basedOn w:val="132"/>
    <w:link w:val="17"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CV Item"/>
    <w:basedOn w:val="1"/>
    <w:uiPriority w:val="0"/>
    <w:pPr>
      <w:keepNext/>
      <w:spacing w:before="80" w:after="0" w:line="250" w:lineRule="auto"/>
    </w:pPr>
    <w:rPr>
      <w:b/>
      <w:sz w:val="20"/>
    </w:rPr>
  </w:style>
  <w:style w:type="paragraph" w:customStyle="1" w:styleId="166">
    <w:name w:val="CV Role"/>
    <w:basedOn w:val="1"/>
    <w:uiPriority w:val="0"/>
    <w:pPr>
      <w:keepNext/>
      <w:spacing w:after="20" w:line="250" w:lineRule="auto"/>
    </w:pPr>
    <w:rPr>
      <w:i/>
      <w:sz w:val="20"/>
    </w:rPr>
  </w:style>
  <w:style w:type="paragraph" w:customStyle="1" w:styleId="167">
    <w:name w:val="CV Detail"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168">
    <w:name w:val="CV Section"/>
    <w:basedOn w:val="1"/>
    <w:uiPriority w:val="0"/>
    <w:pPr>
      <w:keepNext/>
      <w:spacing w:before="140" w:after="40" w:line="250" w:lineRule="auto"/>
    </w:pPr>
    <w:rPr>
      <w:b/>
      <w:color w:val="1F3653"/>
      <w:sz w:val="20"/>
    </w:rPr>
  </w:style>
  <w:style w:type="paragraph" w:customStyle="1" w:styleId="169">
    <w:name w:val="CV Contact"/>
    <w:basedOn w:val="1"/>
    <w:uiPriority w:val="0"/>
    <w:pPr>
      <w:spacing w:after="0" w:line="250" w:lineRule="auto"/>
    </w:pPr>
    <w:rPr>
      <w:sz w:val="20"/>
    </w:rPr>
  </w:style>
  <w:style w:type="paragraph" w:customStyle="1" w:styleId="170">
    <w:name w:val="Title Heading"/>
    <w:next w:val="1"/>
    <w:uiPriority w:val="0"/>
    <w:pPr>
      <w:spacing w:after="300"/>
      <w:jc w:val="center"/>
    </w:pPr>
    <w:rPr>
      <w:rFonts w:ascii="Times New Roman" w:hAnsi="Times New Roman" w:eastAsia="宋体" w:cs="Times New Roman"/>
      <w:sz w:val="48"/>
      <w:szCs w:val="48"/>
      <w:lang w:val="sv-SE" w:eastAsia="sv-SE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bucky小熊软糖</cp:lastModifiedBy>
  <dcterms:modified xsi:type="dcterms:W3CDTF">2026-08-11T23:57:00Z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CA0638CB6AEEC61B4C467B6A49473204_43</vt:lpwstr>
  </property>
</Properties>
</file>